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Bdr>
          <w:bottom w:val="none" w:sz="0" w:space="16" w:color="auto"/>
        </w:pBdr>
        <w:shd w:val="clear" w:color="auto" w:fill="FFFFFF"/>
        <w:rPr>
          <w:rFonts w:ascii="Century Gothic" w:hAnsi="Century Gothic"/>
          <w:b/>
          <w:color w:val="002E5F"/>
        </w:rPr>
      </w:pPr>
      <w:r>
        <w:rPr>
          <w:rFonts w:ascii="Century Gothic" w:hAnsi="Century Gothic"/>
          <w:b/>
          <w:color w:val="002E5F"/>
        </w:rPr>
        <w:t>Monitoring and Evaluation</w:t>
      </w:r>
    </w:p>
    <w:p>
      <w:pPr>
        <w:pBdr>
          <w:bottom w:val="none" w:sz="0" w:space="16" w:color="auto"/>
        </w:pBdr>
        <w:shd w:val="clear" w:color="auto" w:fill="FFFFFF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Evaluation has a crucial role to play in ensuring that the pupils’ needs are being met and in determining the extent to which the CEIAG </w:t>
      </w:r>
      <w:proofErr w:type="spellStart"/>
      <w:r>
        <w:rPr>
          <w:rFonts w:ascii="Century Gothic" w:hAnsi="Century Gothic"/>
          <w:sz w:val="22"/>
        </w:rPr>
        <w:t>programme</w:t>
      </w:r>
      <w:proofErr w:type="spellEnd"/>
      <w:r>
        <w:rPr>
          <w:rFonts w:ascii="Century Gothic" w:hAnsi="Century Gothic"/>
          <w:sz w:val="22"/>
        </w:rPr>
        <w:t xml:space="preserve"> is meeting its declared aims and outcomes. </w:t>
      </w:r>
    </w:p>
    <w:p>
      <w:pPr>
        <w:pBdr>
          <w:bottom w:val="none" w:sz="0" w:space="16" w:color="auto"/>
        </w:pBdr>
        <w:shd w:val="clear" w:color="auto" w:fill="FFFFFF"/>
        <w:jc w:val="both"/>
        <w:rPr>
          <w:rFonts w:ascii="Century Gothic" w:hAnsi="Century Gothic"/>
          <w:sz w:val="22"/>
        </w:rPr>
      </w:pPr>
    </w:p>
    <w:p>
      <w:pPr>
        <w:pBdr>
          <w:bottom w:val="none" w:sz="0" w:space="16" w:color="auto"/>
        </w:pBdr>
        <w:shd w:val="clear" w:color="auto" w:fill="FFFFFF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Evaluation of the CEIAG </w:t>
      </w:r>
      <w:proofErr w:type="spellStart"/>
      <w:r>
        <w:rPr>
          <w:rFonts w:ascii="Century Gothic" w:hAnsi="Century Gothic"/>
          <w:sz w:val="22"/>
        </w:rPr>
        <w:t>programme</w:t>
      </w:r>
      <w:proofErr w:type="spellEnd"/>
      <w:r>
        <w:rPr>
          <w:rFonts w:ascii="Century Gothic" w:hAnsi="Century Gothic"/>
          <w:sz w:val="22"/>
        </w:rPr>
        <w:t xml:space="preserve"> is an on-going and cyclical process and all aspects are regularly reviewed and monitored to inform future policy planning.</w:t>
      </w: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Evaluation also includes the views of employers, training providers, governors, pupils and parents. Their views are elicited via discussions, surveys and questionnaires.</w:t>
      </w:r>
    </w:p>
    <w:p>
      <w:pPr>
        <w:pBdr>
          <w:bottom w:val="none" w:sz="0" w:space="16" w:color="auto"/>
        </w:pBdr>
        <w:shd w:val="clear" w:color="auto" w:fill="FFFFFF"/>
        <w:jc w:val="both"/>
        <w:rPr>
          <w:rFonts w:ascii="Century Gothic" w:hAnsi="Century Gothic"/>
          <w:sz w:val="22"/>
        </w:rPr>
      </w:pPr>
    </w:p>
    <w:p>
      <w:pPr>
        <w:pBdr>
          <w:bottom w:val="none" w:sz="0" w:space="16" w:color="auto"/>
        </w:pBdr>
        <w:shd w:val="clear" w:color="auto" w:fill="FFFFFF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The IAG provision can be reviewed annually with relevant members of the School’s Leadership Team and the Careers and IAG Coordinator.</w:t>
      </w:r>
    </w:p>
    <w:p>
      <w:pPr>
        <w:pBdr>
          <w:bottom w:val="none" w:sz="0" w:space="16" w:color="auto"/>
        </w:pBdr>
        <w:shd w:val="clear" w:color="auto" w:fill="FFFFFF"/>
        <w:rPr>
          <w:rFonts w:ascii="Century Gothic" w:hAnsi="Century Gothic"/>
        </w:rPr>
      </w:pPr>
    </w:p>
    <w:p>
      <w:pPr>
        <w:pBdr>
          <w:bottom w:val="none" w:sz="0" w:space="16" w:color="auto"/>
        </w:pBdr>
        <w:shd w:val="clear" w:color="auto" w:fill="FFFFFF"/>
        <w:rPr>
          <w:rFonts w:ascii="Century Gothic" w:hAnsi="Century Gothic"/>
          <w:b/>
          <w:color w:val="002E5F"/>
        </w:rPr>
      </w:pPr>
      <w:r>
        <w:rPr>
          <w:rFonts w:ascii="Century Gothic" w:hAnsi="Century Gothic"/>
          <w:b/>
          <w:color w:val="002E5F"/>
        </w:rPr>
        <w:t>Links</w:t>
      </w:r>
    </w:p>
    <w:p>
      <w:pPr>
        <w:pBdr>
          <w:bottom w:val="none" w:sz="0" w:space="16" w:color="auto"/>
        </w:pBdr>
        <w:shd w:val="clear" w:color="auto" w:fill="FFFFFF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The Careers policy should be read in conjunction with the ‘Careers guidance and inspiration in schools’ document [DfE March 2015], ‘Careers guidance and access for education and training providers’ document [DfE January 2018]. It also relates to the Inspiration vision statement’ published by the government in September 2013 and </w:t>
      </w:r>
      <w:proofErr w:type="spellStart"/>
      <w:r>
        <w:rPr>
          <w:rFonts w:ascii="Century Gothic" w:hAnsi="Century Gothic"/>
          <w:sz w:val="22"/>
        </w:rPr>
        <w:t>Ofsted’s</w:t>
      </w:r>
      <w:proofErr w:type="spellEnd"/>
      <w:r>
        <w:rPr>
          <w:rFonts w:ascii="Century Gothic" w:hAnsi="Century Gothic"/>
          <w:sz w:val="22"/>
        </w:rPr>
        <w:t xml:space="preserve"> ‘Going in the right direction report’ ‘Every Child Matters’, and Statutory Guidance: Impartial Careers Education 2010, Quality, Choice and Aspirations 2009.</w:t>
      </w:r>
    </w:p>
    <w:p>
      <w:pPr>
        <w:pBdr>
          <w:bottom w:val="none" w:sz="0" w:space="16" w:color="auto"/>
        </w:pBdr>
        <w:shd w:val="clear" w:color="auto" w:fill="FFFFFF"/>
        <w:rPr>
          <w:rFonts w:ascii="Century Gothic" w:hAnsi="Century Gothic"/>
          <w:color w:val="002E5F"/>
        </w:rPr>
      </w:pPr>
    </w:p>
    <w:p>
      <w:pPr>
        <w:pBdr>
          <w:bottom w:val="none" w:sz="0" w:space="16" w:color="auto"/>
        </w:pBdr>
        <w:shd w:val="clear" w:color="auto" w:fill="FFFFFF"/>
        <w:rPr>
          <w:rFonts w:ascii="Century Gothic" w:hAnsi="Century Gothic"/>
          <w:b/>
          <w:color w:val="002E5F"/>
        </w:rPr>
      </w:pPr>
      <w:r>
        <w:rPr>
          <w:rFonts w:ascii="Century Gothic" w:hAnsi="Century Gothic"/>
          <w:b/>
          <w:color w:val="002E5F"/>
        </w:rPr>
        <w:t>Responsibilities</w:t>
      </w:r>
    </w:p>
    <w:p>
      <w:pPr>
        <w:pBdr>
          <w:bottom w:val="none" w:sz="0" w:space="16" w:color="auto"/>
        </w:pBdr>
        <w:shd w:val="clear" w:color="auto" w:fill="FFFFFF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Governing body and specifically careers link governor:</w:t>
      </w:r>
      <w:r>
        <w:rPr>
          <w:rFonts w:ascii="Century Gothic" w:hAnsi="Century Gothic"/>
          <w:sz w:val="22"/>
        </w:rPr>
        <w:t xml:space="preserve"> To ensure that the school is compliant with legislation and to enable an annual evaluation of careers within the school.</w:t>
      </w:r>
    </w:p>
    <w:p>
      <w:pPr>
        <w:pBdr>
          <w:bottom w:val="none" w:sz="0" w:space="16" w:color="auto"/>
        </w:pBdr>
        <w:shd w:val="clear" w:color="auto" w:fill="FFFFFF"/>
        <w:jc w:val="both"/>
        <w:rPr>
          <w:rFonts w:ascii="Century Gothic" w:hAnsi="Century Gothic"/>
          <w:sz w:val="22"/>
        </w:rPr>
      </w:pPr>
    </w:p>
    <w:p>
      <w:pPr>
        <w:pBdr>
          <w:bottom w:val="none" w:sz="0" w:space="16" w:color="auto"/>
        </w:pBdr>
        <w:shd w:val="clear" w:color="auto" w:fill="FFFFFF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Assistant Headteacher</w:t>
      </w:r>
      <w:r>
        <w:rPr>
          <w:rFonts w:ascii="Century Gothic" w:hAnsi="Century Gothic"/>
          <w:sz w:val="22"/>
        </w:rPr>
        <w:t xml:space="preserve">- S Cadman (line manager of CEIAG): To plan a strategic approach to the CEIAG in line with the School Improvement Strategy. To oversee the CEIAG teams with specific focus on vulnerable groups within the </w:t>
      </w:r>
      <w:proofErr w:type="gramStart"/>
      <w:r>
        <w:rPr>
          <w:rFonts w:ascii="Century Gothic" w:hAnsi="Century Gothic"/>
          <w:sz w:val="22"/>
        </w:rPr>
        <w:t>schools</w:t>
      </w:r>
      <w:proofErr w:type="gramEnd"/>
      <w:r>
        <w:rPr>
          <w:rFonts w:ascii="Century Gothic" w:hAnsi="Century Gothic"/>
          <w:sz w:val="22"/>
        </w:rPr>
        <w:t xml:space="preserve"> cohort.</w:t>
      </w:r>
    </w:p>
    <w:p>
      <w:pPr>
        <w:pBdr>
          <w:bottom w:val="none" w:sz="0" w:space="16" w:color="auto"/>
        </w:pBdr>
        <w:shd w:val="clear" w:color="auto" w:fill="FFFFFF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CEIAG Coordinator</w:t>
      </w:r>
      <w:r>
        <w:rPr>
          <w:rFonts w:ascii="Century Gothic" w:hAnsi="Century Gothic"/>
          <w:sz w:val="22"/>
        </w:rPr>
        <w:t>- Z Faruki: To ensure that the school maintains its high level of CEIAG provision for all pupils at all times overseeing tutors ensuring the CEIAG is delivered.</w:t>
      </w:r>
    </w:p>
    <w:p>
      <w:pPr>
        <w:pBdr>
          <w:bottom w:val="none" w:sz="0" w:space="16" w:color="auto"/>
        </w:pBdr>
        <w:shd w:val="clear" w:color="auto" w:fill="FFFFFF"/>
        <w:jc w:val="both"/>
        <w:rPr>
          <w:rFonts w:ascii="Century Gothic" w:hAnsi="Century Gothic"/>
          <w:sz w:val="22"/>
        </w:rPr>
      </w:pPr>
    </w:p>
    <w:p>
      <w:pPr>
        <w:pBdr>
          <w:bottom w:val="none" w:sz="0" w:space="16" w:color="auto"/>
        </w:pBdr>
        <w:shd w:val="clear" w:color="auto" w:fill="FFFFFF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Pastoral and SEND team:</w:t>
      </w:r>
      <w:r>
        <w:rPr>
          <w:rFonts w:ascii="Century Gothic" w:hAnsi="Century Gothic"/>
          <w:sz w:val="22"/>
        </w:rPr>
        <w:t xml:space="preserve"> To oversee the teams they hold responsibility for and ensure appropriate CEIAG is delivered to all pupils within their ma</w:t>
      </w:r>
      <w:bookmarkStart w:id="0" w:name="_GoBack"/>
      <w:bookmarkEnd w:id="0"/>
      <w:r>
        <w:rPr>
          <w:rFonts w:ascii="Century Gothic" w:hAnsi="Century Gothic"/>
          <w:sz w:val="22"/>
        </w:rPr>
        <w:t>naged areas in collaboration with the CEIAG Coordinator.</w:t>
      </w:r>
    </w:p>
    <w:p>
      <w:pPr>
        <w:pBdr>
          <w:bottom w:val="none" w:sz="0" w:space="16" w:color="auto"/>
        </w:pBdr>
        <w:shd w:val="clear" w:color="auto" w:fill="FFFFFF"/>
        <w:rPr>
          <w:rFonts w:ascii="Century Gothic" w:hAnsi="Century Gothic"/>
        </w:rPr>
      </w:pPr>
    </w:p>
    <w:p>
      <w:pPr>
        <w:pBdr>
          <w:bottom w:val="none" w:sz="0" w:space="16" w:color="auto"/>
        </w:pBdr>
        <w:shd w:val="clear" w:color="auto" w:fill="FFFFFF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Heads of Departments:</w:t>
      </w:r>
      <w:r>
        <w:rPr>
          <w:rFonts w:ascii="Century Gothic" w:hAnsi="Century Gothic"/>
          <w:sz w:val="22"/>
        </w:rPr>
        <w:t xml:space="preserve"> To oversee the teams they hold responsibility for and ensure appropriate CEIAG is delivered to all pupils within their managed areas in collaboration with the CEIAG Coordinator.</w:t>
      </w:r>
    </w:p>
    <w:p>
      <w:pPr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>Tutors and Teachers:</w:t>
      </w:r>
      <w:r>
        <w:rPr>
          <w:rFonts w:ascii="Century Gothic" w:hAnsi="Century Gothic"/>
          <w:sz w:val="22"/>
        </w:rPr>
        <w:t xml:space="preserve"> To deliver appropriate CEIAG to all pupils and signpost pupils to the CEIAG coordinator where specialist/further informatio</w:t>
      </w:r>
      <w:r>
        <w:rPr>
          <w:rFonts w:ascii="Century Gothic" w:hAnsi="Century Gothic"/>
          <w:sz w:val="22"/>
        </w:rPr>
        <w:t>n.</w:t>
      </w:r>
    </w:p>
    <w:sectPr>
      <w:headerReference w:type="default" r:id="rId10"/>
      <w:pgSz w:w="11900" w:h="16840"/>
      <w:pgMar w:top="3075" w:right="1134" w:bottom="196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633" cy="10672408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633" cy="1067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04B"/>
    <w:multiLevelType w:val="hybridMultilevel"/>
    <w:tmpl w:val="6E1A77D0"/>
    <w:lvl w:ilvl="0" w:tplc="805E0F9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7BF3"/>
    <w:multiLevelType w:val="hybridMultilevel"/>
    <w:tmpl w:val="C40A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46DC2"/>
    <w:multiLevelType w:val="hybridMultilevel"/>
    <w:tmpl w:val="D306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3E049BE-1D20-4378-8272-B08C0630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150cf4-383c-4503-829c-b86b76728863" xsi:nil="true"/>
    <lcf76f155ced4ddcb4097134ff3c332f xmlns="15b27674-5099-4916-a580-875e1bc3e0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6869779B924BB2DEDA3AFCBA83F2" ma:contentTypeVersion="18" ma:contentTypeDescription="Create a new document." ma:contentTypeScope="" ma:versionID="01760587c7edcf4b3244d384ffcba163">
  <xsd:schema xmlns:xsd="http://www.w3.org/2001/XMLSchema" xmlns:xs="http://www.w3.org/2001/XMLSchema" xmlns:p="http://schemas.microsoft.com/office/2006/metadata/properties" xmlns:ns2="15b27674-5099-4916-a580-875e1bc3e0f6" xmlns:ns3="f0150cf4-383c-4503-829c-b86b76728863" targetNamespace="http://schemas.microsoft.com/office/2006/metadata/properties" ma:root="true" ma:fieldsID="287ebd106e86e57f4afb4dcd8819c6db" ns2:_="" ns3:_="">
    <xsd:import namespace="15b27674-5099-4916-a580-875e1bc3e0f6"/>
    <xsd:import namespace="f0150cf4-383c-4503-829c-b86b76728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7674-5099-4916-a580-875e1bc3e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c9341b-6257-46c2-b537-9ed2fb6e5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0cf4-383c-4503-829c-b86b76728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dfda56-2c95-4883-bad7-55941b4c6bf8}" ma:internalName="TaxCatchAll" ma:showField="CatchAllData" ma:web="f0150cf4-383c-4503-829c-b86b76728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33A924-EBB2-478A-B4E6-67B0CDAE009E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f0150cf4-383c-4503-829c-b86b76728863"/>
    <ds:schemaRef ds:uri="15b27674-5099-4916-a580-875e1bc3e0f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B18848-1C51-4C32-95F7-8B3BF4E06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8938E-A158-4090-994F-4D7BCB30C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27674-5099-4916-a580-875e1bc3e0f6"/>
    <ds:schemaRef ds:uri="f0150cf4-383c-4503-829c-b86b76728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Brandfour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cp:lastModifiedBy>Zehra Faruki</cp:lastModifiedBy>
  <cp:revision>2</cp:revision>
  <cp:lastPrinted>2023-02-27T16:04:00Z</cp:lastPrinted>
  <dcterms:created xsi:type="dcterms:W3CDTF">2024-02-21T10:34:00Z</dcterms:created>
  <dcterms:modified xsi:type="dcterms:W3CDTF">2024-02-21T10:34:00Z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0x0101006BAE7ED6C182ED408A69B174A1B81E82</vt:lpwstr>
  </property>
</Properties>
</file>